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竞买须知</w:t>
      </w:r>
    </w:p>
    <w:p>
      <w:pPr>
        <w:jc w:val="center"/>
        <w:rPr>
          <w:rFonts w:hint="eastAsia" w:ascii="黑体" w:hAnsi="黑体" w:eastAsia="黑体" w:cs="黑体"/>
          <w:b/>
          <w:bCs/>
          <w:sz w:val="44"/>
          <w:szCs w:val="44"/>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为确保交易活动顺利进行，竞买人（意向受让方）应按以下要求和操作参加网络竞价活动:</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一、网络竞价流程与操作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（一）账户注册</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使用IE11浏览器输入网址：http://sl.sxggzyjy.cn/wblj/009002/zxhylogin.html全国公共资源交易平台</w:t>
      </w:r>
      <w:r>
        <w:rPr>
          <w:rFonts w:hint="eastAsia" w:ascii="宋体" w:hAnsi="宋体" w:eastAsia="宋体" w:cs="宋体"/>
          <w:sz w:val="32"/>
          <w:szCs w:val="32"/>
          <w:lang w:eastAsia="zh-CN"/>
        </w:rPr>
        <w:t>（陕西省•商洛市）商洛市公共资源交易中心</w:t>
      </w:r>
      <w:r>
        <w:rPr>
          <w:rFonts w:hint="eastAsia" w:ascii="宋体" w:hAnsi="宋体" w:eastAsia="宋体" w:cs="宋体"/>
          <w:sz w:val="32"/>
          <w:szCs w:val="32"/>
        </w:rPr>
        <w:t>网</w:t>
      </w:r>
      <w:r>
        <w:rPr>
          <w:rFonts w:hint="eastAsia" w:ascii="宋体" w:hAnsi="宋体" w:eastAsia="宋体" w:cs="宋体"/>
          <w:sz w:val="32"/>
          <w:szCs w:val="32"/>
          <w:lang w:val="en-US" w:eastAsia="zh-CN"/>
        </w:rPr>
        <w:t>站</w:t>
      </w:r>
      <w:r>
        <w:rPr>
          <w:rFonts w:hint="eastAsia" w:ascii="宋体" w:hAnsi="宋体" w:eastAsia="宋体" w:cs="宋体"/>
          <w:sz w:val="32"/>
          <w:szCs w:val="32"/>
        </w:rPr>
        <w:t>选择“公共服务平台”，点击“企业端登录”，通过手机短信验证或数字证书（CA）注册。</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注意事项：</w:t>
      </w:r>
    </w:p>
    <w:p>
      <w:pPr>
        <w:numPr>
          <w:ilvl w:val="0"/>
          <w:numId w:val="1"/>
        </w:numPr>
        <w:ind w:firstLine="640"/>
        <w:jc w:val="left"/>
        <w:rPr>
          <w:rFonts w:hint="eastAsia" w:ascii="宋体" w:hAnsi="宋体" w:eastAsia="宋体" w:cs="宋体"/>
          <w:sz w:val="32"/>
          <w:szCs w:val="32"/>
        </w:rPr>
      </w:pPr>
      <w:r>
        <w:rPr>
          <w:rFonts w:hint="eastAsia" w:ascii="宋体" w:hAnsi="宋体" w:eastAsia="宋体" w:cs="宋体"/>
          <w:sz w:val="32"/>
          <w:szCs w:val="32"/>
        </w:rPr>
        <w:t>竞买人应熟记注册账户名称和登录密码，不得外泄。</w:t>
      </w:r>
    </w:p>
    <w:p>
      <w:pPr>
        <w:numPr>
          <w:ilvl w:val="0"/>
          <w:numId w:val="1"/>
        </w:numPr>
        <w:ind w:firstLine="640"/>
        <w:jc w:val="left"/>
        <w:rPr>
          <w:rFonts w:hint="eastAsia" w:ascii="宋体" w:hAnsi="宋体" w:eastAsia="宋体" w:cs="宋体"/>
          <w:sz w:val="32"/>
          <w:szCs w:val="32"/>
        </w:rPr>
      </w:pPr>
      <w:r>
        <w:rPr>
          <w:rFonts w:hint="eastAsia" w:ascii="宋体" w:hAnsi="宋体" w:eastAsia="宋体" w:cs="宋体"/>
          <w:sz w:val="32"/>
          <w:szCs w:val="32"/>
        </w:rPr>
        <w:t>选择关注的项目类型参与交易活动。</w:t>
      </w:r>
    </w:p>
    <w:p>
      <w:pPr>
        <w:numPr>
          <w:ilvl w:val="0"/>
          <w:numId w:val="2"/>
        </w:numPr>
        <w:ind w:firstLine="640" w:firstLineChars="200"/>
        <w:rPr>
          <w:rFonts w:hint="eastAsia" w:ascii="宋体" w:hAnsi="宋体" w:eastAsia="宋体" w:cs="宋体"/>
          <w:sz w:val="32"/>
          <w:szCs w:val="32"/>
        </w:rPr>
      </w:pPr>
      <w:r>
        <w:rPr>
          <w:rFonts w:hint="eastAsia" w:ascii="宋体" w:hAnsi="宋体" w:eastAsia="宋体" w:cs="宋体"/>
          <w:sz w:val="32"/>
          <w:szCs w:val="32"/>
        </w:rPr>
        <w:t>网上报名</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账户注册完成后点击“全国公共资源交易平台</w:t>
      </w:r>
      <w:r>
        <w:rPr>
          <w:rFonts w:hint="eastAsia" w:ascii="宋体" w:hAnsi="宋体" w:eastAsia="宋体" w:cs="宋体"/>
          <w:sz w:val="32"/>
          <w:szCs w:val="32"/>
          <w:lang w:eastAsia="zh-CN"/>
        </w:rPr>
        <w:t>（陕西省•商洛市）商洛市公共资源交易中心</w:t>
      </w:r>
      <w:r>
        <w:rPr>
          <w:rFonts w:hint="eastAsia" w:ascii="宋体" w:hAnsi="宋体" w:eastAsia="宋体" w:cs="宋体"/>
          <w:sz w:val="32"/>
          <w:szCs w:val="32"/>
        </w:rPr>
        <w:t>网</w:t>
      </w:r>
      <w:r>
        <w:rPr>
          <w:rFonts w:hint="eastAsia" w:ascii="宋体" w:hAnsi="宋体" w:eastAsia="宋体" w:cs="宋体"/>
          <w:sz w:val="32"/>
          <w:szCs w:val="32"/>
          <w:lang w:val="en-US" w:eastAsia="zh-CN"/>
        </w:rPr>
        <w:t>站</w:t>
      </w:r>
      <w:r>
        <w:rPr>
          <w:rFonts w:hint="eastAsia" w:ascii="宋体" w:hAnsi="宋体" w:eastAsia="宋体" w:cs="宋体"/>
          <w:sz w:val="32"/>
          <w:szCs w:val="32"/>
        </w:rPr>
        <w:t>”网站主页右侧“电子交易平台”</w:t>
      </w:r>
    </w:p>
    <w:p>
      <w:pPr>
        <w:rPr>
          <w:rFonts w:hint="eastAsia" w:ascii="宋体" w:hAnsi="宋体" w:eastAsia="宋体" w:cs="宋体"/>
          <w:sz w:val="32"/>
          <w:szCs w:val="32"/>
        </w:rPr>
      </w:pPr>
      <w:r>
        <w:rPr>
          <w:rFonts w:hint="eastAsia" w:ascii="宋体" w:hAnsi="宋体" w:eastAsia="宋体" w:cs="宋体"/>
          <w:sz w:val="32"/>
          <w:szCs w:val="32"/>
        </w:rPr>
        <w:t>hhttp://sl.sxggzyjy.cn/wblj/009001/jyxtlogin.html，选择“权益类交易系统企业端”进入“国有产权企业端”，使用注册账户和密码登录操作（注册后首次登录，请从OAuth登录 ）。</w:t>
      </w:r>
    </w:p>
    <w:p>
      <w:pPr>
        <w:numPr>
          <w:ilvl w:val="0"/>
          <w:numId w:val="3"/>
        </w:numPr>
        <w:ind w:firstLine="640" w:firstLineChars="200"/>
        <w:rPr>
          <w:rFonts w:hint="eastAsia" w:ascii="宋体" w:hAnsi="宋体" w:eastAsia="宋体" w:cs="宋体"/>
          <w:sz w:val="32"/>
          <w:szCs w:val="32"/>
        </w:rPr>
      </w:pPr>
      <w:r>
        <w:rPr>
          <w:rFonts w:hint="eastAsia" w:ascii="宋体" w:hAnsi="宋体" w:eastAsia="宋体" w:cs="宋体"/>
          <w:sz w:val="32"/>
          <w:szCs w:val="32"/>
        </w:rPr>
        <w:t>报名资料上传。选择所要报名的项目点击“我要报名”，按照项目报名要求，通过下载文件、完善内容、拍照上传的方式，完成报名资料提交。</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2、交易保证金交纳。报名资料经</w:t>
      </w:r>
      <w:r>
        <w:rPr>
          <w:rFonts w:hint="eastAsia" w:ascii="宋体" w:hAnsi="宋体" w:cs="宋体"/>
          <w:sz w:val="32"/>
          <w:szCs w:val="32"/>
          <w:lang w:eastAsia="zh-CN"/>
        </w:rPr>
        <w:t>商洛市</w:t>
      </w:r>
      <w:r>
        <w:rPr>
          <w:rFonts w:hint="eastAsia" w:ascii="宋体" w:hAnsi="宋体" w:eastAsia="宋体" w:cs="宋体"/>
          <w:sz w:val="32"/>
          <w:szCs w:val="32"/>
        </w:rPr>
        <w:t>交易中心审核通过后，按时足额交纳保证金（以到</w:t>
      </w:r>
      <w:r>
        <w:rPr>
          <w:rFonts w:hint="eastAsia" w:ascii="宋体" w:hAnsi="宋体" w:cs="宋体"/>
          <w:sz w:val="32"/>
          <w:szCs w:val="32"/>
          <w:lang w:eastAsia="zh-CN"/>
        </w:rPr>
        <w:t>商洛市</w:t>
      </w:r>
      <w:r>
        <w:rPr>
          <w:rFonts w:hint="eastAsia" w:ascii="宋体" w:hAnsi="宋体" w:eastAsia="宋体" w:cs="宋体"/>
          <w:sz w:val="32"/>
          <w:szCs w:val="32"/>
        </w:rPr>
        <w:t>交易中心指定账户为准），确定竞买资格，在网络竞价开始即可进行竞买报价。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注意事项：</w:t>
      </w:r>
    </w:p>
    <w:p>
      <w:pPr>
        <w:widowControl/>
        <w:ind w:firstLine="640" w:firstLineChars="200"/>
        <w:jc w:val="left"/>
        <w:rPr>
          <w:rFonts w:hint="eastAsia" w:ascii="宋体" w:hAnsi="宋体" w:eastAsia="宋体" w:cs="宋体"/>
          <w:sz w:val="32"/>
          <w:szCs w:val="32"/>
        </w:rPr>
      </w:pPr>
      <w:r>
        <w:rPr>
          <w:rFonts w:hint="eastAsia" w:ascii="宋体" w:hAnsi="宋体" w:eastAsia="宋体" w:cs="宋体"/>
          <w:sz w:val="32"/>
          <w:szCs w:val="32"/>
        </w:rPr>
        <w:t>自即日起</w:t>
      </w:r>
      <w:r>
        <w:rPr>
          <w:rFonts w:hint="eastAsia" w:ascii="宋体" w:hAnsi="宋体" w:eastAsia="宋体" w:cs="宋体"/>
          <w:color w:val="auto"/>
          <w:sz w:val="32"/>
          <w:szCs w:val="32"/>
        </w:rPr>
        <w:t>至</w:t>
      </w:r>
      <w:r>
        <w:rPr>
          <w:rFonts w:hint="eastAsia" w:ascii="宋体" w:hAnsi="宋体" w:eastAsia="宋体" w:cs="宋体"/>
          <w:color w:val="auto"/>
          <w:sz w:val="32"/>
          <w:szCs w:val="32"/>
          <w:u w:val="single"/>
        </w:rPr>
        <w:t>2023年</w:t>
      </w:r>
      <w:r>
        <w:rPr>
          <w:rFonts w:hint="eastAsia" w:ascii="宋体" w:hAnsi="宋体" w:eastAsia="宋体" w:cs="宋体"/>
          <w:color w:val="auto"/>
          <w:sz w:val="32"/>
          <w:szCs w:val="32"/>
          <w:u w:val="single"/>
          <w:lang w:val="en-US" w:eastAsia="zh-CN"/>
        </w:rPr>
        <w:t>3</w:t>
      </w:r>
      <w:r>
        <w:rPr>
          <w:rFonts w:hint="eastAsia" w:ascii="宋体" w:hAnsi="宋体" w:eastAsia="宋体" w:cs="宋体"/>
          <w:color w:val="auto"/>
          <w:sz w:val="32"/>
          <w:szCs w:val="32"/>
          <w:u w:val="single"/>
        </w:rPr>
        <w:t>月</w:t>
      </w:r>
      <w:r>
        <w:rPr>
          <w:rFonts w:hint="eastAsia" w:ascii="宋体" w:hAnsi="宋体" w:eastAsia="宋体" w:cs="宋体"/>
          <w:color w:val="auto"/>
          <w:sz w:val="32"/>
          <w:szCs w:val="32"/>
          <w:u w:val="single"/>
          <w:lang w:val="en-US" w:eastAsia="zh-CN"/>
        </w:rPr>
        <w:t>2</w:t>
      </w:r>
      <w:r>
        <w:rPr>
          <w:rFonts w:hint="eastAsia" w:ascii="宋体" w:hAnsi="宋体" w:cs="宋体"/>
          <w:color w:val="auto"/>
          <w:sz w:val="32"/>
          <w:szCs w:val="32"/>
          <w:u w:val="single"/>
          <w:lang w:val="en-US" w:eastAsia="zh-CN"/>
        </w:rPr>
        <w:t>7</w:t>
      </w:r>
      <w:r>
        <w:rPr>
          <w:rFonts w:hint="eastAsia" w:ascii="宋体" w:hAnsi="宋体" w:eastAsia="宋体" w:cs="宋体"/>
          <w:color w:val="auto"/>
          <w:sz w:val="32"/>
          <w:szCs w:val="32"/>
          <w:u w:val="single"/>
        </w:rPr>
        <w:t>日下午17时</w:t>
      </w:r>
      <w:r>
        <w:rPr>
          <w:rFonts w:hint="eastAsia" w:ascii="宋体" w:hAnsi="宋体" w:eastAsia="宋体" w:cs="宋体"/>
          <w:color w:val="auto"/>
          <w:sz w:val="32"/>
          <w:szCs w:val="32"/>
        </w:rPr>
        <w:t>前,已</w:t>
      </w:r>
      <w:r>
        <w:rPr>
          <w:rFonts w:hint="eastAsia" w:ascii="宋体" w:hAnsi="宋体" w:eastAsia="宋体" w:cs="宋体"/>
          <w:sz w:val="32"/>
          <w:szCs w:val="32"/>
        </w:rPr>
        <w:t>报名的竞买人请按照</w:t>
      </w:r>
      <w:r>
        <w:rPr>
          <w:rFonts w:hint="eastAsia" w:ascii="宋体" w:hAnsi="宋体" w:cs="宋体"/>
          <w:sz w:val="32"/>
          <w:szCs w:val="32"/>
          <w:lang w:eastAsia="zh-CN"/>
        </w:rPr>
        <w:t>指定账户</w:t>
      </w:r>
      <w:r>
        <w:rPr>
          <w:rFonts w:hint="eastAsia" w:ascii="宋体" w:hAnsi="宋体" w:cs="宋体"/>
          <w:sz w:val="32"/>
          <w:szCs w:val="32"/>
          <w:lang w:val="en-US" w:eastAsia="zh-CN"/>
        </w:rPr>
        <w:t>以</w:t>
      </w:r>
      <w:r>
        <w:rPr>
          <w:rFonts w:hint="eastAsia" w:ascii="宋体" w:hAnsi="宋体" w:eastAsia="宋体" w:cs="宋体"/>
          <w:b/>
          <w:bCs/>
          <w:sz w:val="32"/>
          <w:szCs w:val="32"/>
        </w:rPr>
        <w:t>转账</w:t>
      </w:r>
      <w:r>
        <w:rPr>
          <w:rFonts w:hint="eastAsia" w:ascii="宋体" w:hAnsi="宋体" w:eastAsia="宋体" w:cs="宋体"/>
          <w:sz w:val="32"/>
          <w:szCs w:val="32"/>
        </w:rPr>
        <w:t>的方式交纳保证金，</w:t>
      </w:r>
      <w:r>
        <w:rPr>
          <w:rFonts w:hint="eastAsia" w:ascii="宋体" w:hAnsi="宋体" w:eastAsia="宋体" w:cs="宋体"/>
          <w:b/>
          <w:bCs/>
          <w:sz w:val="32"/>
          <w:szCs w:val="32"/>
        </w:rPr>
        <w:t>保证金交纳银行账户名称必须与报名单位名称一致</w:t>
      </w:r>
      <w:r>
        <w:rPr>
          <w:rFonts w:hint="eastAsia" w:ascii="宋体" w:hAnsi="宋体" w:eastAsia="宋体" w:cs="宋体"/>
          <w:sz w:val="32"/>
          <w:szCs w:val="32"/>
        </w:rPr>
        <w:t>。网络竞价不接</w:t>
      </w:r>
      <w:r>
        <w:rPr>
          <w:rFonts w:hint="eastAsia" w:ascii="宋体" w:hAnsi="宋体" w:cs="宋体"/>
          <w:sz w:val="32"/>
          <w:szCs w:val="32"/>
          <w:lang w:eastAsia="zh-CN"/>
        </w:rPr>
        <w:t>受</w:t>
      </w:r>
      <w:r>
        <w:rPr>
          <w:rFonts w:hint="eastAsia" w:ascii="宋体" w:hAnsi="宋体" w:eastAsia="宋体" w:cs="宋体"/>
          <w:sz w:val="32"/>
          <w:szCs w:val="32"/>
        </w:rPr>
        <w:t>现场交纳。</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（三）网络竞价</w:t>
      </w:r>
    </w:p>
    <w:p>
      <w:pPr>
        <w:ind w:firstLine="640" w:firstLineChars="200"/>
        <w:rPr>
          <w:rFonts w:hint="eastAsia" w:ascii="宋体" w:hAnsi="宋体" w:eastAsia="宋体" w:cs="宋体"/>
          <w:sz w:val="32"/>
          <w:szCs w:val="32"/>
        </w:rPr>
      </w:pPr>
      <w:r>
        <w:rPr>
          <w:rFonts w:hint="eastAsia" w:ascii="宋体" w:hAnsi="宋体" w:eastAsia="宋体" w:cs="宋体"/>
          <w:color w:val="333333"/>
          <w:sz w:val="32"/>
          <w:szCs w:val="32"/>
        </w:rPr>
        <w:t>网络竞价按照“价格优先、时间优先”原则确定竞买人。</w:t>
      </w:r>
      <w:r>
        <w:rPr>
          <w:rFonts w:hint="eastAsia" w:ascii="宋体" w:hAnsi="宋体" w:eastAsia="宋体" w:cs="宋体"/>
          <w:sz w:val="32"/>
          <w:szCs w:val="32"/>
        </w:rPr>
        <w:t>竞买人初次报价须等于或高于起始价，每次加价金额应为加价幅度的整数倍。</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网络竞价方式为</w:t>
      </w:r>
      <w:r>
        <w:rPr>
          <w:rFonts w:hint="eastAsia" w:ascii="宋体" w:hAnsi="宋体" w:eastAsia="宋体" w:cs="宋体"/>
          <w:b/>
          <w:bCs/>
          <w:sz w:val="32"/>
          <w:szCs w:val="32"/>
        </w:rPr>
        <w:t>“自由报价+限时竞价”</w:t>
      </w:r>
      <w:r>
        <w:rPr>
          <w:rFonts w:hint="eastAsia" w:ascii="宋体" w:hAnsi="宋体" w:eastAsia="宋体" w:cs="宋体"/>
          <w:sz w:val="32"/>
          <w:szCs w:val="32"/>
        </w:rPr>
        <w:t>，其方法为：</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自由竞价周期：</w:t>
      </w:r>
      <w:r>
        <w:rPr>
          <w:rFonts w:hint="eastAsia" w:ascii="宋体" w:hAnsi="宋体" w:eastAsia="宋体" w:cs="宋体"/>
          <w:sz w:val="32"/>
          <w:szCs w:val="32"/>
        </w:rPr>
        <w:t>自由竞价周期为</w:t>
      </w:r>
      <w:r>
        <w:rPr>
          <w:rFonts w:hint="eastAsia" w:ascii="宋体" w:hAnsi="宋体" w:eastAsia="宋体" w:cs="宋体"/>
          <w:sz w:val="32"/>
          <w:szCs w:val="32"/>
          <w:lang w:val="en-US" w:eastAsia="zh-CN"/>
        </w:rPr>
        <w:t>120分钟</w:t>
      </w:r>
      <w:r>
        <w:rPr>
          <w:rFonts w:hint="eastAsia" w:ascii="宋体" w:hAnsi="宋体" w:eastAsia="宋体" w:cs="宋体"/>
          <w:sz w:val="32"/>
          <w:szCs w:val="32"/>
          <w:highlight w:val="none"/>
        </w:rPr>
        <w:t>，</w:t>
      </w:r>
      <w:r>
        <w:rPr>
          <w:rFonts w:hint="eastAsia" w:ascii="宋体" w:hAnsi="宋体" w:eastAsia="宋体" w:cs="宋体"/>
          <w:sz w:val="32"/>
          <w:szCs w:val="32"/>
        </w:rPr>
        <w:t>在此期间竞买人可随时出价。在自由竞价周期结束后自动进入限时周期。</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限时竞价周期：</w:t>
      </w:r>
      <w:r>
        <w:rPr>
          <w:rFonts w:hint="eastAsia" w:ascii="宋体" w:hAnsi="宋体" w:eastAsia="宋体" w:cs="宋体"/>
          <w:sz w:val="32"/>
          <w:szCs w:val="32"/>
        </w:rPr>
        <w:t>限时报价周期可以由多个限时报价周期组成，每个限时报价周期为90秒，在每个限时报价周期内，如出现新的有效报价，则进入新的限时报价周期；在一个限时报价周期内如未出现新的有效报价，则当前有效报价方成为本次竞价活动的受让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注意事项：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1、网络报价时间以交易系统技术支持方的服务器时间为准。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2、在网络竞价期间，竞买人应关注网络报价变化、自身报价和项目成交情况，并对自身报价操作和结果承担责任。</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（四）竞价成交</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竞价结束时，系统按“价格优先、时间优先”原则确定成交价（最高报价）及竞得人（受让方），并在报价端口显示成交信息。</w:t>
      </w:r>
      <w:r>
        <w:rPr>
          <w:rFonts w:hint="eastAsia" w:ascii="宋体" w:hAnsi="宋体" w:cs="宋体"/>
          <w:sz w:val="32"/>
          <w:szCs w:val="32"/>
          <w:lang w:eastAsia="zh-CN"/>
        </w:rPr>
        <w:t>商洛市</w:t>
      </w:r>
      <w:r>
        <w:rPr>
          <w:rFonts w:hint="eastAsia" w:ascii="宋体" w:hAnsi="宋体" w:eastAsia="宋体" w:cs="宋体"/>
          <w:sz w:val="32"/>
          <w:szCs w:val="32"/>
        </w:rPr>
        <w:t>交易中心依据竞价记录单，向项目单位（转让方）、竞得人出具《成交结果确认书》，组织交易双方完成交易后续手续办理等工作。</w:t>
      </w:r>
    </w:p>
    <w:p>
      <w:pPr>
        <w:ind w:firstLine="482" w:firstLineChars="150"/>
        <w:rPr>
          <w:rFonts w:hint="eastAsia" w:ascii="宋体" w:hAnsi="宋体" w:eastAsia="宋体" w:cs="宋体"/>
          <w:b/>
          <w:bCs/>
          <w:sz w:val="32"/>
          <w:szCs w:val="32"/>
        </w:rPr>
      </w:pPr>
      <w:r>
        <w:rPr>
          <w:rFonts w:hint="eastAsia" w:ascii="宋体" w:hAnsi="宋体" w:eastAsia="宋体" w:cs="宋体"/>
          <w:b/>
          <w:bCs/>
          <w:sz w:val="32"/>
          <w:szCs w:val="32"/>
        </w:rPr>
        <w:t>二、竞买保证金退付</w:t>
      </w:r>
    </w:p>
    <w:p>
      <w:pPr>
        <w:ind w:firstLine="640" w:firstLineChars="200"/>
        <w:rPr>
          <w:rFonts w:hint="eastAsia" w:ascii="宋体" w:hAnsi="宋体" w:eastAsia="宋体" w:cs="宋体"/>
          <w:color w:val="auto"/>
          <w:sz w:val="32"/>
          <w:szCs w:val="32"/>
        </w:rPr>
      </w:pPr>
      <w:r>
        <w:rPr>
          <w:rFonts w:hint="eastAsia" w:ascii="宋体" w:hAnsi="宋体" w:eastAsia="宋体" w:cs="宋体"/>
          <w:sz w:val="32"/>
          <w:szCs w:val="32"/>
        </w:rPr>
        <w:t>竞价结束后，未成交的竞买人交纳的交易保证金由</w:t>
      </w:r>
      <w:r>
        <w:rPr>
          <w:rFonts w:hint="eastAsia" w:ascii="宋体" w:hAnsi="宋体" w:cs="宋体"/>
          <w:sz w:val="32"/>
          <w:szCs w:val="32"/>
          <w:lang w:eastAsia="zh-CN"/>
        </w:rPr>
        <w:t>商洛市</w:t>
      </w:r>
      <w:r>
        <w:rPr>
          <w:rFonts w:hint="eastAsia" w:ascii="宋体" w:hAnsi="宋体" w:eastAsia="宋体" w:cs="宋体"/>
          <w:sz w:val="32"/>
          <w:szCs w:val="32"/>
        </w:rPr>
        <w:t>交易中心在5个工作</w:t>
      </w:r>
      <w:r>
        <w:rPr>
          <w:rFonts w:hint="eastAsia" w:ascii="宋体" w:hAnsi="宋体" w:eastAsia="宋体" w:cs="宋体"/>
          <w:color w:val="auto"/>
          <w:sz w:val="32"/>
          <w:szCs w:val="32"/>
        </w:rPr>
        <w:t>日内按原交纳途径无息退还交款人账户。</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竞得人交纳的交易保证金将转为履约保证金，待完成交易合同履约后按原交纳途径无息退还交款人账户。</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三、重要提示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对标的的信息披露仅供竞买人参考，竞买人应在项目展示期内认真查看转让标的情况和相关信息，并慎重选择报名登记和参加网络竞价。竞买人一旦参与报价则视为对标的现状知悉，接受交易条件，愿自行承担竞买风险，</w:t>
      </w:r>
      <w:r>
        <w:rPr>
          <w:rFonts w:hint="eastAsia" w:ascii="宋体" w:hAnsi="宋体" w:cs="宋体"/>
          <w:sz w:val="32"/>
          <w:szCs w:val="32"/>
          <w:lang w:eastAsia="zh-CN"/>
        </w:rPr>
        <w:t>商洛市</w:t>
      </w:r>
      <w:r>
        <w:rPr>
          <w:rFonts w:hint="eastAsia" w:ascii="宋体" w:hAnsi="宋体" w:eastAsia="宋体" w:cs="宋体"/>
          <w:sz w:val="32"/>
          <w:szCs w:val="32"/>
        </w:rPr>
        <w:t>交易中心不接受竞买人以上述理由放弃网络竞价要求。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（二）竞买人须妥善保管账户名称及密码，任何以注册账户登录参与竞买的操作，均视为竞买人的自愿行为，</w:t>
      </w:r>
      <w:r>
        <w:rPr>
          <w:rFonts w:hint="eastAsia" w:ascii="宋体" w:hAnsi="宋体" w:cs="宋体"/>
          <w:sz w:val="32"/>
          <w:szCs w:val="32"/>
          <w:lang w:eastAsia="zh-CN"/>
        </w:rPr>
        <w:t>商洛市</w:t>
      </w:r>
      <w:r>
        <w:rPr>
          <w:rFonts w:hint="eastAsia" w:ascii="宋体" w:hAnsi="宋体" w:eastAsia="宋体" w:cs="宋体"/>
          <w:sz w:val="32"/>
          <w:szCs w:val="32"/>
        </w:rPr>
        <w:t>交易中心不承担任何责任。</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（三）因竞买人下列行为产生的一切后果，由竞买人自行承担：</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1、所填写的信息不真实、不准确或不完整而造成注册账户无法激活、交易保证金无法交纳、退还的；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2、未及时关注相关竞价活动信息和变化的；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3、由于竞买人自身的终端设备和网络异常等原因导致无法正常报价的；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4、因误操作、他人操作等原因引发的报价结果、无法参与报价等；</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5、网络竞价时间以竞价系统页面提供的时间为准，由于竞买人自身终端设备时间与竞价页面提供的时间不符而导致未按时参与竞价的。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（四）因不可抗力、软硬件（技术）故障、非法入侵、恶意攻击等原因而导致网站服务异常、网络竞价中断等竞价异常的，交易各方均不承担责任。</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（五）竞买方网络</w:t>
      </w:r>
      <w:bookmarkStart w:id="0" w:name="_GoBack"/>
      <w:bookmarkEnd w:id="0"/>
      <w:r>
        <w:rPr>
          <w:rFonts w:hint="eastAsia" w:ascii="宋体" w:hAnsi="宋体" w:eastAsia="宋体" w:cs="宋体"/>
          <w:sz w:val="32"/>
          <w:szCs w:val="32"/>
          <w:lang w:val="en-US" w:eastAsia="zh-CN"/>
        </w:rPr>
        <w:t xml:space="preserve">操作方法可参考“陕西省公共资源交易中心官网”--“服务指南”--“下载专区”--“陕西省实物资产类交易系统竞买方端口操作手册”。按照《陕西省产权实物资产操作手册-企业端报名手册v1.0》、《陕西省产权实物资产操作手册-自然人注册v1.0》进行注册，按照《竞买须知》要求参加网上交易活动，法人需办理CA锁后登陆系统参与网上交易活动。CA锁办理咨询电话：陕西省公共资源交易中心：029-88661241 ，CA技术支撑客服：4006369888 </w:t>
      </w:r>
    </w:p>
    <w:p>
      <w:pPr>
        <w:pStyle w:val="3"/>
        <w:keepNext w:val="0"/>
        <w:keepLines w:val="0"/>
        <w:widowControl/>
        <w:suppressLineNumbers w:val="0"/>
        <w:spacing w:before="0" w:beforeAutospacing="0" w:after="0" w:afterAutospacing="0" w:line="420" w:lineRule="atLeast"/>
        <w:ind w:left="-1590" w:right="-1590" w:firstLine="600"/>
        <w:jc w:val="both"/>
        <w:rPr>
          <w:rFonts w:hint="eastAsia" w:ascii="宋体" w:hAnsi="宋体" w:eastAsia="宋体" w:cs="宋体"/>
          <w:kern w:val="2"/>
          <w:sz w:val="32"/>
          <w:szCs w:val="32"/>
          <w:lang w:val="en-US" w:eastAsia="zh-CN" w:bidi="ar-SA"/>
        </w:rPr>
      </w:pPr>
    </w:p>
    <w:p>
      <w:pPr>
        <w:pStyle w:val="3"/>
        <w:keepNext w:val="0"/>
        <w:keepLines w:val="0"/>
        <w:widowControl/>
        <w:suppressLineNumbers w:val="0"/>
        <w:spacing w:before="0" w:beforeAutospacing="0" w:after="0" w:afterAutospacing="0" w:line="420" w:lineRule="atLeast"/>
        <w:ind w:left="-1590" w:right="-1590" w:firstLine="600"/>
        <w:jc w:val="both"/>
        <w:rPr>
          <w:rFonts w:ascii="Calibri" w:hAnsi="Calibri" w:cs="Calibri"/>
          <w:sz w:val="21"/>
          <w:szCs w:val="21"/>
        </w:rPr>
      </w:pPr>
    </w:p>
    <w:p>
      <w:pPr>
        <w:pStyle w:val="3"/>
        <w:keepNext w:val="0"/>
        <w:keepLines w:val="0"/>
        <w:widowControl/>
        <w:suppressLineNumbers w:val="0"/>
        <w:spacing w:before="0" w:beforeAutospacing="0" w:after="0" w:afterAutospacing="0" w:line="420" w:lineRule="atLeast"/>
        <w:ind w:left="-1590" w:right="-1590" w:firstLine="600"/>
        <w:jc w:val="both"/>
        <w:rPr>
          <w:rFonts w:ascii="Calibri" w:hAnsi="Calibri" w:cs="Calibri"/>
          <w:sz w:val="21"/>
          <w:szCs w:val="21"/>
        </w:rPr>
      </w:pPr>
      <w:r>
        <w:rPr>
          <w:rFonts w:ascii="仿宋" w:hAnsi="仿宋" w:eastAsia="仿宋" w:cs="仿宋"/>
          <w:color w:val="333333"/>
          <w:sz w:val="30"/>
          <w:szCs w:val="30"/>
          <w:shd w:val="clear" w:fill="FFFFFF"/>
        </w:rPr>
        <w:t xml:space="preserve">  </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 </w:t>
      </w:r>
    </w:p>
    <w:p>
      <w:pPr>
        <w:ind w:firstLine="640" w:firstLineChars="200"/>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A9DEA"/>
    <w:multiLevelType w:val="singleLevel"/>
    <w:tmpl w:val="F1BA9DEA"/>
    <w:lvl w:ilvl="0" w:tentative="0">
      <w:start w:val="2"/>
      <w:numFmt w:val="chineseCounting"/>
      <w:suff w:val="nothing"/>
      <w:lvlText w:val="（%1）"/>
      <w:lvlJc w:val="left"/>
      <w:rPr>
        <w:rFonts w:hint="eastAsia"/>
      </w:rPr>
    </w:lvl>
  </w:abstractNum>
  <w:abstractNum w:abstractNumId="1">
    <w:nsid w:val="08883B50"/>
    <w:multiLevelType w:val="singleLevel"/>
    <w:tmpl w:val="08883B50"/>
    <w:lvl w:ilvl="0" w:tentative="0">
      <w:start w:val="1"/>
      <w:numFmt w:val="decimal"/>
      <w:suff w:val="nothing"/>
      <w:lvlText w:val="%1、"/>
      <w:lvlJc w:val="left"/>
      <w:pPr>
        <w:ind w:left="-10"/>
      </w:pPr>
    </w:lvl>
  </w:abstractNum>
  <w:abstractNum w:abstractNumId="2">
    <w:nsid w:val="45334BBB"/>
    <w:multiLevelType w:val="singleLevel"/>
    <w:tmpl w:val="45334BB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OWUxN2M4NjYyNGJiNThiMmNhNTBiOGZhMDdkOGYifQ=="/>
  </w:docVars>
  <w:rsids>
    <w:rsidRoot w:val="7AEA426E"/>
    <w:rsid w:val="02CE317D"/>
    <w:rsid w:val="0364581F"/>
    <w:rsid w:val="08135097"/>
    <w:rsid w:val="0D921D8F"/>
    <w:rsid w:val="10714A33"/>
    <w:rsid w:val="119C7075"/>
    <w:rsid w:val="122E1550"/>
    <w:rsid w:val="126926D3"/>
    <w:rsid w:val="16A95EE3"/>
    <w:rsid w:val="187E690A"/>
    <w:rsid w:val="19137AFC"/>
    <w:rsid w:val="22D93B65"/>
    <w:rsid w:val="23500BF2"/>
    <w:rsid w:val="24A26DDC"/>
    <w:rsid w:val="26AE3392"/>
    <w:rsid w:val="31BE0AF5"/>
    <w:rsid w:val="399D72F9"/>
    <w:rsid w:val="39DB2815"/>
    <w:rsid w:val="3AE43B94"/>
    <w:rsid w:val="3DB35049"/>
    <w:rsid w:val="50982187"/>
    <w:rsid w:val="58B5571B"/>
    <w:rsid w:val="59DE4BD8"/>
    <w:rsid w:val="5B2F59E1"/>
    <w:rsid w:val="5C3A16DC"/>
    <w:rsid w:val="5E5E72D2"/>
    <w:rsid w:val="605D0E8A"/>
    <w:rsid w:val="6B32605D"/>
    <w:rsid w:val="6FAE445A"/>
    <w:rsid w:val="70081F5A"/>
    <w:rsid w:val="750D2EF3"/>
    <w:rsid w:val="7AEA426E"/>
    <w:rsid w:val="7E525E1A"/>
    <w:rsid w:val="7ECD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spacing w:line="360" w:lineRule="auto"/>
    </w:pPr>
    <w:rPr>
      <w:sz w:val="24"/>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TML Definition"/>
    <w:basedOn w:val="5"/>
    <w:uiPriority w:val="0"/>
  </w:style>
  <w:style w:type="character" w:styleId="8">
    <w:name w:val="HTML Typewriter"/>
    <w:basedOn w:val="5"/>
    <w:uiPriority w:val="0"/>
    <w:rPr>
      <w:rFonts w:hint="default" w:ascii="monospace" w:hAnsi="monospace" w:eastAsia="monospace" w:cs="monospace"/>
      <w:sz w:val="20"/>
    </w:rPr>
  </w:style>
  <w:style w:type="character" w:styleId="9">
    <w:name w:val="HTML Acronym"/>
    <w:basedOn w:val="5"/>
    <w:uiPriority w:val="0"/>
    <w:rPr>
      <w:bdr w:val="none" w:color="auto" w:sz="0" w:space="0"/>
    </w:rPr>
  </w:style>
  <w:style w:type="character" w:styleId="10">
    <w:name w:val="HTML Variable"/>
    <w:basedOn w:val="5"/>
    <w:uiPriority w:val="0"/>
  </w:style>
  <w:style w:type="character" w:styleId="11">
    <w:name w:val="Hyperlink"/>
    <w:qFormat/>
    <w:uiPriority w:val="0"/>
    <w:rPr>
      <w:color w:val="0000FF"/>
      <w:u w:val="single"/>
    </w:rPr>
  </w:style>
  <w:style w:type="character" w:styleId="12">
    <w:name w:val="HTML Code"/>
    <w:basedOn w:val="5"/>
    <w:uiPriority w:val="0"/>
    <w:rPr>
      <w:rFonts w:hint="default" w:ascii="monospace" w:hAnsi="monospace" w:eastAsia="monospace" w:cs="monospace"/>
      <w:sz w:val="20"/>
      <w:bdr w:val="none" w:color="auto" w:sz="0" w:space="0"/>
    </w:rPr>
  </w:style>
  <w:style w:type="character" w:styleId="13">
    <w:name w:val="HTML Cite"/>
    <w:basedOn w:val="5"/>
    <w:uiPriority w:val="0"/>
  </w:style>
  <w:style w:type="character" w:styleId="14">
    <w:name w:val="HTML Keyboard"/>
    <w:basedOn w:val="5"/>
    <w:uiPriority w:val="0"/>
    <w:rPr>
      <w:rFonts w:hint="default" w:ascii="monospace" w:hAnsi="monospace" w:eastAsia="monospace" w:cs="monospace"/>
      <w:sz w:val="20"/>
    </w:rPr>
  </w:style>
  <w:style w:type="character" w:styleId="15">
    <w:name w:val="HTML Sample"/>
    <w:basedOn w:val="5"/>
    <w:uiPriority w:val="0"/>
    <w:rPr>
      <w:rFonts w:ascii="monospace" w:hAnsi="monospace" w:eastAsia="monospace" w:cs="monospace"/>
    </w:rPr>
  </w:style>
  <w:style w:type="character" w:customStyle="1" w:styleId="16">
    <w:name w:val="layui-layer-tabnow"/>
    <w:basedOn w:val="5"/>
    <w:uiPriority w:val="0"/>
    <w:rPr>
      <w:bdr w:val="single" w:color="CCCCCC" w:sz="6" w:space="0"/>
      <w:shd w:val="clear" w:fill="FFFFFF"/>
    </w:rPr>
  </w:style>
  <w:style w:type="character" w:customStyle="1" w:styleId="17">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1670</Words>
  <Characters>1796</Characters>
  <Lines>0</Lines>
  <Paragraphs>0</Paragraphs>
  <TotalTime>20</TotalTime>
  <ScaleCrop>false</ScaleCrop>
  <LinksUpToDate>false</LinksUpToDate>
  <CharactersWithSpaces>1798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2023-01-28T06:06:00Z</dcterms:created>
  <dc:creator>李兵</dc:creator>
  <cp:lastModifiedBy>吉</cp:lastModifiedBy>
  <cp:lastPrinted>2023-02-27T09:38:00Z</cp:lastPrinted>
  <dcterms:modified xsi:type="dcterms:W3CDTF">2023-02-28T10:01:49Z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7CC30249C3FC47029677A90309420596</vt:lpwstr>
  </property>
</Properties>
</file>